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1D4C" w:rsidRDefault="0054199C">
      <w:bookmarkStart w:id="0" w:name="_GoBack"/>
      <w:r>
        <w:rPr>
          <w:noProof/>
          <w:lang w:eastAsia="ru-RU"/>
        </w:rPr>
        <w:drawing>
          <wp:inline distT="0" distB="0" distL="0" distR="0">
            <wp:extent cx="9251577" cy="7119501"/>
            <wp:effectExtent l="0" t="0" r="6985" b="5715"/>
            <wp:docPr id="1" name="Рисунок 1" descr="D:\All-doks\Desktop\инф на сайт\профилактика ддтт\Световозвращающие элемен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ll-doks\Desktop\инф на сайт\профилактика ддтт\Световозвращающие элементы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487" cy="7119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31D4C" w:rsidSect="0054199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3"/>
  <w:proofState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488"/>
    <w:rsid w:val="0054199C"/>
    <w:rsid w:val="00B47488"/>
    <w:rsid w:val="00B73F69"/>
    <w:rsid w:val="00F940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19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199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19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199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2022-04-11T05:52:00Z</dcterms:created>
  <dcterms:modified xsi:type="dcterms:W3CDTF">2022-04-11T05:53:00Z</dcterms:modified>
</cp:coreProperties>
</file>